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назначение-workflowview"/>
    <w:p>
      <w:pPr>
        <w:pStyle w:val="Heading1"/>
      </w:pPr>
      <w:r>
        <w:t xml:space="preserve">Назначение WorkflowView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описывает колонки списка, секции карточки, параметры пункта верхней навигации, панель фильтров, заголовки, пагинацию, проверку доступа, секции комментариев и связей, а также кнопки переходов. Состав верхней навигации задается не самими представлениями,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карточки записи доступны типы секций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 </w:t>
      </w:r>
      <w:r>
        <w:t xml:space="preserve">показывает ленту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 </w:t>
      </w:r>
      <w:r>
        <w:t xml:space="preserve">для текущей записи и форму добавления комментария для авторизованного пользователя; сами сообщения хранит и изменяет модуль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показывает исходящие и входящие связи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; доступные типы связей задаются в проекте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Навигация страниц публикуется через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схема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само представление задает группу, порядок, признак показа, route и счетчик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 Для досок используется обычная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 ключ этой записи 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схемой. Для внешних прикладных страниц, которые должны только появиться в навигации, используется тип представления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BodyText"/>
      </w:pPr>
      <w:r>
        <w:t xml:space="preserve">Представление может задавать canonical route и variants для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сужает базовое представление: меняет размер страницы, CSS-контекст плотности/layout, набор видимых колонок или скрытые секции, но не добавляет новые права и действия.</w:t>
      </w:r>
    </w:p>
    <w:p>
      <w:pPr>
        <w:pStyle w:val="BodyText"/>
      </w:pPr>
      <w:r>
        <w:t xml:space="preserve">Подробное описание настроек и методов находится в разделе:</w:t>
      </w:r>
    </w:p>
    <w:bookmarkStart w:id="17" w:name="workflowview"/>
    <w:p>
      <w:pPr>
        <w:pStyle w:val="Heading2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3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3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3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3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3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3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3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WorkflowView</dc:title>
  <dc:creator/>
  <cp:keywords/>
  <dcterms:created xsi:type="dcterms:W3CDTF">2026-10-08T11:47:40Z</dcterms:created>
  <dcterms:modified xsi:type="dcterms:W3CDTF">2026-10-08T11:47:40Z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